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0A" w:rsidRDefault="00C8760A" w:rsidP="00C8760A">
      <w:pPr>
        <w:pStyle w:val="bodybld"/>
        <w:rPr>
          <w:rFonts w:ascii="Futura Bk BT" w:hAnsi="Futura Bk BT" w:cs="Futura Bk BT"/>
          <w:b w:val="0"/>
          <w:bCs w:val="0"/>
          <w:color w:val="7A9B49"/>
          <w:sz w:val="48"/>
          <w:szCs w:val="48"/>
        </w:rPr>
      </w:pPr>
      <w:r>
        <w:rPr>
          <w:rFonts w:ascii="Futura Bk BT" w:hAnsi="Futura Bk BT" w:cs="Futura Bk BT"/>
          <w:b w:val="0"/>
          <w:bCs w:val="0"/>
          <w:color w:val="7A9B49"/>
          <w:sz w:val="48"/>
          <w:szCs w:val="48"/>
        </w:rPr>
        <w:t xml:space="preserve">Notes to Schedule of Changes in Net Pension Liabilities and Related Ratios </w:t>
      </w:r>
    </w:p>
    <w:p w:rsidR="00C8760A" w:rsidRDefault="00C8760A" w:rsidP="00C8760A">
      <w:pPr>
        <w:pStyle w:val="bodybld"/>
        <w:rPr>
          <w:rFonts w:ascii="Futura Bk BT" w:hAnsi="Futura Bk BT" w:cs="Futura Bk BT"/>
          <w:b w:val="0"/>
          <w:bCs w:val="0"/>
          <w:color w:val="7A9B49"/>
          <w:sz w:val="48"/>
          <w:szCs w:val="48"/>
        </w:rPr>
      </w:pPr>
    </w:p>
    <w:p w:rsidR="00C8760A" w:rsidRDefault="00C8760A" w:rsidP="00C8760A">
      <w:pPr>
        <w:pStyle w:val="bodybld"/>
        <w:rPr>
          <w:rFonts w:ascii="Futura Md BT" w:hAnsi="Futura Md BT" w:cs="Futura Md BT"/>
          <w:sz w:val="26"/>
          <w:szCs w:val="26"/>
        </w:rPr>
      </w:pPr>
      <w:r>
        <w:rPr>
          <w:rFonts w:ascii="Futura Md BT" w:hAnsi="Futura Md BT" w:cs="Futura Md BT"/>
          <w:sz w:val="26"/>
          <w:szCs w:val="26"/>
        </w:rPr>
        <w:t>General Employees Fund</w:t>
      </w:r>
    </w:p>
    <w:p w:rsidR="00FD2FEB" w:rsidRPr="00FD2FEB" w:rsidRDefault="00FD2FEB" w:rsidP="00FD2FEB">
      <w:pPr>
        <w:pStyle w:val="bodybld"/>
        <w:rPr>
          <w:rFonts w:ascii="Futura Hv BT" w:hAnsi="Futura Hv BT" w:cs="Futura Hv BT"/>
          <w:b w:val="0"/>
          <w:bCs w:val="0"/>
          <w:i/>
          <w:iCs/>
          <w:color w:val="7A9B49"/>
          <w:sz w:val="22"/>
          <w:szCs w:val="22"/>
        </w:rPr>
      </w:pPr>
      <w:r w:rsidRPr="00FD2FEB">
        <w:rPr>
          <w:rFonts w:ascii="Futura Hv BT" w:hAnsi="Futura Hv BT" w:cs="Futura Hv BT"/>
          <w:b w:val="0"/>
          <w:bCs w:val="0"/>
          <w:i/>
          <w:iCs/>
          <w:color w:val="7A9B49"/>
          <w:sz w:val="22"/>
          <w:szCs w:val="22"/>
        </w:rPr>
        <w:t>2017 Changes</w:t>
      </w:r>
    </w:p>
    <w:p w:rsidR="00FD2FEB" w:rsidRPr="00FD2FEB" w:rsidRDefault="00FD2FEB" w:rsidP="00FD2FEB">
      <w:pPr>
        <w:pStyle w:val="bodybld"/>
        <w:rPr>
          <w:rFonts w:ascii="Futura Hv BT" w:hAnsi="Futura Hv BT" w:cs="Futura Hv BT"/>
          <w:b w:val="0"/>
          <w:bCs w:val="0"/>
          <w:sz w:val="22"/>
          <w:szCs w:val="22"/>
        </w:rPr>
      </w:pPr>
      <w:r w:rsidRPr="00FD2FEB">
        <w:rPr>
          <w:rFonts w:ascii="Futura Hv BT" w:hAnsi="Futura Hv BT" w:cs="Futura Hv BT"/>
          <w:b w:val="0"/>
          <w:bCs w:val="0"/>
          <w:sz w:val="22"/>
          <w:szCs w:val="22"/>
        </w:rPr>
        <w:t>Changes in Actuarial Assumptions:</w:t>
      </w:r>
    </w:p>
    <w:p w:rsidR="00FD2FEB" w:rsidRDefault="00FD2FEB" w:rsidP="00FD2FEB">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Pr="00FD2FEB">
        <w:rPr>
          <w:rFonts w:ascii="Futura Bk BT" w:hAnsi="Futura Bk BT" w:cs="Futura Bk BT"/>
          <w:b w:val="0"/>
          <w:bCs w:val="0"/>
          <w:sz w:val="22"/>
          <w:szCs w:val="22"/>
        </w:rPr>
        <w:t>The Combined Service Annuity (CSA) loads were changed from 0.8 percent for active members and 60 percent for vested and non-vested deferred members. The revised CSA loads are now 0.0 percent for active member liability, 15.0 percent for vested deferred member liability</w:t>
      </w:r>
      <w:r>
        <w:rPr>
          <w:rFonts w:ascii="Futura Bk BT" w:hAnsi="Futura Bk BT" w:cs="Futura Bk BT"/>
          <w:b w:val="0"/>
          <w:bCs w:val="0"/>
          <w:sz w:val="22"/>
          <w:szCs w:val="22"/>
        </w:rPr>
        <w:t xml:space="preserve"> </w:t>
      </w:r>
      <w:r w:rsidRPr="00FD2FEB">
        <w:rPr>
          <w:rFonts w:ascii="Futura Bk BT" w:hAnsi="Futura Bk BT" w:cs="Futura Bk BT"/>
          <w:b w:val="0"/>
          <w:bCs w:val="0"/>
          <w:sz w:val="22"/>
          <w:szCs w:val="22"/>
        </w:rPr>
        <w:t>and 3.0 percent for non-vested deferred member liability.</w:t>
      </w:r>
    </w:p>
    <w:p w:rsidR="00FD2FEB" w:rsidRPr="00FD2FEB" w:rsidRDefault="00FD2FEB" w:rsidP="00FD2FEB">
      <w:pPr>
        <w:pStyle w:val="bodybld"/>
        <w:rPr>
          <w:rFonts w:ascii="Futura Bk BT" w:hAnsi="Futura Bk BT" w:cs="Futura Bk BT"/>
          <w:b w:val="0"/>
          <w:bCs w:val="0"/>
          <w:sz w:val="22"/>
          <w:szCs w:val="22"/>
        </w:rPr>
      </w:pPr>
    </w:p>
    <w:p w:rsidR="00FD2FEB" w:rsidRPr="00FD2FEB" w:rsidRDefault="00770FB4" w:rsidP="00FD2FEB">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FD2FEB" w:rsidRPr="00FD2FEB">
        <w:rPr>
          <w:rFonts w:ascii="Futura Bk BT" w:hAnsi="Futura Bk BT" w:cs="Futura Bk BT"/>
          <w:b w:val="0"/>
          <w:bCs w:val="0"/>
          <w:sz w:val="22"/>
          <w:szCs w:val="22"/>
        </w:rPr>
        <w:t>The assumed  post-retirement benefit  increase  rate was changed from  1.0  percent  per year for all years to 1.0 percent  per year through 2 044  and  2.5  percent  per year thereafter.</w:t>
      </w:r>
    </w:p>
    <w:p w:rsidR="00FD2FEB" w:rsidRDefault="00FD2FEB" w:rsidP="00C8760A">
      <w:pPr>
        <w:pStyle w:val="bodybld"/>
        <w:rPr>
          <w:rFonts w:ascii="Futura Hv BT" w:hAnsi="Futura Hv BT" w:cs="Futura Hv BT"/>
          <w:b w:val="0"/>
          <w:bCs w:val="0"/>
          <w:i/>
          <w:iCs/>
          <w:color w:val="7A9B49"/>
          <w:sz w:val="22"/>
          <w:szCs w:val="22"/>
        </w:rPr>
      </w:pPr>
    </w:p>
    <w:p w:rsidR="00C8760A" w:rsidRDefault="00C8760A" w:rsidP="00C8760A">
      <w:pPr>
        <w:pStyle w:val="bodybld"/>
        <w:rPr>
          <w:rFonts w:ascii="Futura Hv BT" w:hAnsi="Futura Hv BT" w:cs="Futura Hv BT"/>
          <w:b w:val="0"/>
          <w:bCs w:val="0"/>
          <w:i/>
          <w:iCs/>
          <w:color w:val="7A9B49"/>
          <w:sz w:val="22"/>
          <w:szCs w:val="22"/>
        </w:rPr>
      </w:pPr>
      <w:r>
        <w:rPr>
          <w:rFonts w:ascii="Futura Hv BT" w:hAnsi="Futura Hv BT" w:cs="Futura Hv BT"/>
          <w:b w:val="0"/>
          <w:bCs w:val="0"/>
          <w:i/>
          <w:iCs/>
          <w:color w:val="7A9B49"/>
          <w:sz w:val="22"/>
          <w:szCs w:val="22"/>
        </w:rPr>
        <w:t>2016 Changes</w:t>
      </w: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Actuarial Assumptions</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post-retirement benefit increase rate was changed from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2035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thereafter to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for all years. </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investment return was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7.5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The single discount rate was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7.5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Other assumptions were changed pursuant to the experience study dated June 30, 2015.  The assumed future salary increases, payroll growth, and inflation were decreased by 0.25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3.25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for payroll growth and 2.50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for inflation.</w:t>
      </w:r>
    </w:p>
    <w:p w:rsidR="00C8760A" w:rsidRDefault="00C8760A" w:rsidP="00C8760A">
      <w:pPr>
        <w:pStyle w:val="bodybld"/>
        <w:rPr>
          <w:rFonts w:ascii="Futura Hv BT" w:hAnsi="Futura Hv BT" w:cs="Futura Hv BT"/>
          <w:b w:val="0"/>
          <w:bCs w:val="0"/>
          <w:sz w:val="22"/>
          <w:szCs w:val="22"/>
        </w:rPr>
      </w:pPr>
    </w:p>
    <w:p w:rsidR="00C8760A" w:rsidRDefault="00C8760A" w:rsidP="00C8760A">
      <w:pPr>
        <w:pStyle w:val="bodybld"/>
        <w:rPr>
          <w:rFonts w:ascii="Futura Hv BT" w:hAnsi="Futura Hv BT" w:cs="Futura Hv BT"/>
          <w:b w:val="0"/>
          <w:bCs w:val="0"/>
          <w:i/>
          <w:iCs/>
          <w:color w:val="7A9B49"/>
          <w:sz w:val="22"/>
          <w:szCs w:val="22"/>
        </w:rPr>
      </w:pPr>
      <w:r>
        <w:rPr>
          <w:rFonts w:ascii="Futura Hv BT" w:hAnsi="Futura Hv BT" w:cs="Futura Hv BT"/>
          <w:b w:val="0"/>
          <w:bCs w:val="0"/>
          <w:i/>
          <w:iCs/>
          <w:color w:val="7A9B49"/>
          <w:sz w:val="22"/>
          <w:szCs w:val="22"/>
        </w:rPr>
        <w:t xml:space="preserve">2015 Changes   </w:t>
      </w: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Plan Provisions:</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On January 1, 2015 the Minneapolis Employees Retirement Fund was merged into the General Employees Fund, which increased the total pension liability by $1.1 billion and increased the fiduciary plan net position by $892 million.  Upon consolidation, state and employer contributions were revised.</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Actuarial Assumptions:</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post-retirement benefit increase rate was changed from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2030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thereafter to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2035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thereafter. </w:t>
      </w:r>
    </w:p>
    <w:p w:rsidR="00C8760A" w:rsidRDefault="00C8760A" w:rsidP="00C8760A">
      <w:pPr>
        <w:pStyle w:val="bodybld"/>
        <w:rPr>
          <w:rFonts w:ascii="Futura Hv BT" w:hAnsi="Futura Hv BT" w:cs="Futura Hv BT"/>
          <w:b w:val="0"/>
          <w:bCs w:val="0"/>
          <w:color w:val="7A9B49"/>
          <w:sz w:val="22"/>
          <w:szCs w:val="22"/>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4F3244" w:rsidRDefault="004F3244" w:rsidP="00C8760A">
      <w:pPr>
        <w:pStyle w:val="bodybld"/>
        <w:rPr>
          <w:rFonts w:ascii="Futura Md BT" w:hAnsi="Futura Md BT" w:cs="Futura Md BT"/>
          <w:sz w:val="26"/>
          <w:szCs w:val="26"/>
        </w:rPr>
      </w:pPr>
    </w:p>
    <w:p w:rsidR="00C8760A" w:rsidRDefault="00C8760A" w:rsidP="00C8760A">
      <w:pPr>
        <w:pStyle w:val="bodybld"/>
        <w:rPr>
          <w:rFonts w:ascii="Futura Md BT" w:hAnsi="Futura Md BT" w:cs="Futura Md BT"/>
          <w:sz w:val="26"/>
          <w:szCs w:val="26"/>
        </w:rPr>
      </w:pPr>
      <w:r>
        <w:rPr>
          <w:rFonts w:ascii="Futura Md BT" w:hAnsi="Futura Md BT" w:cs="Futura Md BT"/>
          <w:sz w:val="26"/>
          <w:szCs w:val="26"/>
        </w:rPr>
        <w:lastRenderedPageBreak/>
        <w:t>Police and Fire Fund</w:t>
      </w:r>
    </w:p>
    <w:p w:rsidR="00DB2680" w:rsidRPr="00DB2680" w:rsidRDefault="00DB2680" w:rsidP="00DB2680">
      <w:pPr>
        <w:pStyle w:val="bodybld"/>
        <w:rPr>
          <w:rFonts w:ascii="Futura Hv BT" w:hAnsi="Futura Hv BT" w:cs="Futura Hv BT"/>
          <w:b w:val="0"/>
          <w:bCs w:val="0"/>
          <w:i/>
          <w:iCs/>
          <w:color w:val="7A9B49"/>
          <w:sz w:val="22"/>
          <w:szCs w:val="22"/>
        </w:rPr>
      </w:pPr>
      <w:r w:rsidRPr="00DB2680">
        <w:rPr>
          <w:rFonts w:ascii="Futura Hv BT" w:hAnsi="Futura Hv BT" w:cs="Futura Hv BT"/>
          <w:b w:val="0"/>
          <w:bCs w:val="0"/>
          <w:i/>
          <w:iCs/>
          <w:color w:val="7A9B49"/>
          <w:sz w:val="22"/>
          <w:szCs w:val="22"/>
        </w:rPr>
        <w:t>2017 Changes</w:t>
      </w:r>
    </w:p>
    <w:p w:rsidR="00DB2680" w:rsidRPr="00DB2680" w:rsidRDefault="00DB2680" w:rsidP="00DB2680">
      <w:pPr>
        <w:pStyle w:val="bodybld"/>
        <w:rPr>
          <w:rFonts w:ascii="Futura Hv BT" w:hAnsi="Futura Hv BT" w:cs="Futura Hv BT"/>
          <w:b w:val="0"/>
          <w:bCs w:val="0"/>
          <w:sz w:val="22"/>
          <w:szCs w:val="22"/>
        </w:rPr>
      </w:pPr>
      <w:r w:rsidRPr="00DB2680">
        <w:rPr>
          <w:rFonts w:ascii="Futura Hv BT" w:hAnsi="Futura Hv BT" w:cs="Futura Hv BT"/>
          <w:b w:val="0"/>
          <w:bCs w:val="0"/>
          <w:sz w:val="22"/>
          <w:szCs w:val="22"/>
        </w:rPr>
        <w:t>Changes in Actuarial Assumptions:</w:t>
      </w: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Assumed salary increases were changed as recommended in the June 30, 2016 experience study. The net effect is proposed rates that average 0.34 percent lower than the previous rates.</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Assumed rates of retirement were changed, resulting in fewer retirements.</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The Combined Service Annuity (CSA) load was 30 percent for vested and non-vested</w:t>
      </w: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deferred members. The</w:t>
      </w: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CSA has been changed to 33 percent for vested members and 2 percent for non-vested members.</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847931">
        <w:rPr>
          <w:rFonts w:ascii="Futura Bk BT" w:hAnsi="Futura Bk BT" w:cs="Futura Bk BT"/>
          <w:b w:val="0"/>
          <w:bCs w:val="0"/>
          <w:sz w:val="22"/>
          <w:szCs w:val="22"/>
        </w:rPr>
        <w:t>AA</w:t>
      </w:r>
      <w:r w:rsidR="00DB2680" w:rsidRPr="00DB2680">
        <w:rPr>
          <w:rFonts w:ascii="Futura Bk BT" w:hAnsi="Futura Bk BT" w:cs="Futura Bk BT"/>
          <w:b w:val="0"/>
          <w:bCs w:val="0"/>
          <w:sz w:val="22"/>
          <w:szCs w:val="22"/>
        </w:rPr>
        <w:t xml:space="preserve"> to Scale MP-2016. The base mortality table for disabled annuitants was changed from the RP-2000 disabled mortality table to the mortality tables assumed for healthy retirees.</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Assumed termination rates were decreased to 3.0 percent for the first three years of service. Rates beyond the select period of three years were adjusted, resulting in more expected terminations overall.</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Assumed percentage of married female members was decreased from 65 percent to 60 percent.</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Assumed age difference was changed from  separate assumptions  for male  members  (wives assumed  to be three years younger)  and  female  members  (husbands  assumed  to be four  years older)  to the assumption that males are  two years older  than  females.</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The assumed percentage of female members electing Joint and Survivor annuities was increased.</w:t>
      </w:r>
    </w:p>
    <w:p w:rsidR="00DB2680" w:rsidRPr="00DB2680" w:rsidRDefault="00DB2680" w:rsidP="00DB2680">
      <w:pPr>
        <w:pStyle w:val="bodybld"/>
        <w:rPr>
          <w:rFonts w:ascii="Futura Bk BT" w:hAnsi="Futura Bk BT" w:cs="Futura Bk BT"/>
          <w:b w:val="0"/>
          <w:bCs w:val="0"/>
          <w:sz w:val="22"/>
          <w:szCs w:val="22"/>
        </w:rPr>
      </w:pPr>
    </w:p>
    <w:p w:rsidR="00DB2680" w:rsidRPr="00DB2680" w:rsidRDefault="002668DB" w:rsidP="00DB2680">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The assumed post-retirement benefit increase rate was changed from 1.00 percent for all years to 1.00 percent per year through 2064 and 2.50</w:t>
      </w:r>
      <w:r>
        <w:rPr>
          <w:rFonts w:ascii="Futura Bk BT" w:hAnsi="Futura Bk BT" w:cs="Futura Bk BT"/>
          <w:b w:val="0"/>
          <w:bCs w:val="0"/>
          <w:sz w:val="22"/>
          <w:szCs w:val="22"/>
        </w:rPr>
        <w:t xml:space="preserve"> </w:t>
      </w:r>
      <w:r w:rsidR="00DB2680" w:rsidRPr="00DB2680">
        <w:rPr>
          <w:rFonts w:ascii="Futura Bk BT" w:hAnsi="Futura Bk BT" w:cs="Futura Bk BT"/>
          <w:b w:val="0"/>
          <w:bCs w:val="0"/>
          <w:sz w:val="22"/>
          <w:szCs w:val="22"/>
        </w:rPr>
        <w:t>percent thereafter.</w:t>
      </w:r>
    </w:p>
    <w:p w:rsidR="00DB2680" w:rsidRDefault="00DB2680" w:rsidP="00C8760A">
      <w:pPr>
        <w:pStyle w:val="bodybld"/>
        <w:rPr>
          <w:rFonts w:ascii="Futura Hv BT" w:hAnsi="Futura Hv BT" w:cs="Futura Hv BT"/>
          <w:b w:val="0"/>
          <w:bCs w:val="0"/>
          <w:i/>
          <w:iCs/>
          <w:color w:val="7A9B49"/>
          <w:sz w:val="22"/>
          <w:szCs w:val="22"/>
        </w:rPr>
      </w:pPr>
    </w:p>
    <w:p w:rsidR="00C8760A" w:rsidRDefault="00C8760A" w:rsidP="00C8760A">
      <w:pPr>
        <w:pStyle w:val="bodybld"/>
        <w:rPr>
          <w:rFonts w:ascii="Futura Hv BT" w:hAnsi="Futura Hv BT" w:cs="Futura Hv BT"/>
          <w:b w:val="0"/>
          <w:bCs w:val="0"/>
          <w:i/>
          <w:iCs/>
          <w:sz w:val="22"/>
          <w:szCs w:val="22"/>
        </w:rPr>
      </w:pPr>
      <w:r>
        <w:rPr>
          <w:rFonts w:ascii="Futura Hv BT" w:hAnsi="Futura Hv BT" w:cs="Futura Hv BT"/>
          <w:b w:val="0"/>
          <w:bCs w:val="0"/>
          <w:i/>
          <w:iCs/>
          <w:color w:val="7A9B49"/>
          <w:sz w:val="22"/>
          <w:szCs w:val="22"/>
        </w:rPr>
        <w:t>2016 Changes</w:t>
      </w: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Actuarial Assumptions</w:t>
      </w:r>
      <w:r>
        <w:rPr>
          <w:rFonts w:ascii="Futura Bk BT" w:hAnsi="Futura Bk BT" w:cs="Futura Bk BT"/>
          <w:b w:val="0"/>
          <w:bCs w:val="0"/>
          <w:sz w:val="22"/>
          <w:szCs w:val="22"/>
        </w:rPr>
        <w:t xml:space="preserve">: </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post-retirement benefit increase rate was changed from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2037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thereafter to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for all future years.</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investment return was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7.5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The single discount rate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5.6</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future salary increases, payroll growth, and inflation were decreased by 0.25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3.25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for payroll growth and 2.50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for inflation.  </w:t>
      </w:r>
    </w:p>
    <w:p w:rsidR="00C8760A" w:rsidRDefault="00C8760A" w:rsidP="00C8760A">
      <w:pPr>
        <w:pStyle w:val="bodybld"/>
        <w:rPr>
          <w:rFonts w:ascii="Futura Hv BT" w:hAnsi="Futura Hv BT" w:cs="Futura Hv BT"/>
          <w:b w:val="0"/>
          <w:bCs w:val="0"/>
          <w:sz w:val="22"/>
          <w:szCs w:val="22"/>
        </w:rPr>
      </w:pPr>
    </w:p>
    <w:p w:rsidR="00C8760A" w:rsidRDefault="00C8760A" w:rsidP="00C8760A">
      <w:pPr>
        <w:pStyle w:val="bodybld"/>
        <w:rPr>
          <w:rFonts w:ascii="Futura Hv BT" w:hAnsi="Futura Hv BT" w:cs="Futura Hv BT"/>
          <w:b w:val="0"/>
          <w:bCs w:val="0"/>
          <w:i/>
          <w:iCs/>
          <w:color w:val="7A9B49"/>
          <w:sz w:val="22"/>
          <w:szCs w:val="22"/>
        </w:rPr>
      </w:pPr>
      <w:r>
        <w:rPr>
          <w:rFonts w:ascii="Futura Hv BT" w:hAnsi="Futura Hv BT" w:cs="Futura Hv BT"/>
          <w:b w:val="0"/>
          <w:bCs w:val="0"/>
          <w:i/>
          <w:iCs/>
          <w:color w:val="7A9B49"/>
          <w:sz w:val="22"/>
          <w:szCs w:val="22"/>
        </w:rPr>
        <w:t xml:space="preserve">2015 Changes </w:t>
      </w: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Plan Provisions:</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post-retirement benefit increase to be paid after attainment of the 90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funding threshold was changed, from inflation up to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to a fixed rate of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p>
    <w:p w:rsidR="00C8760A" w:rsidRDefault="00C8760A" w:rsidP="00C8760A">
      <w:pPr>
        <w:pStyle w:val="bodybld"/>
        <w:rPr>
          <w:rFonts w:ascii="Futura Hv BT" w:hAnsi="Futura Hv BT" w:cs="Futura Hv BT"/>
          <w:b w:val="0"/>
          <w:bCs w:val="0"/>
          <w:sz w:val="22"/>
          <w:szCs w:val="22"/>
        </w:rPr>
      </w:pPr>
      <w:r>
        <w:rPr>
          <w:rFonts w:ascii="Futura Hv BT" w:hAnsi="Futura Hv BT" w:cs="Futura Hv BT"/>
          <w:b w:val="0"/>
          <w:bCs w:val="0"/>
          <w:sz w:val="22"/>
          <w:szCs w:val="22"/>
        </w:rPr>
        <w:lastRenderedPageBreak/>
        <w:t>Changes in Actuarial Assumptions:</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post-retirement benefit increase rate was changed from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2030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thereafter to 1.0</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through 2037 and 2.5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per year thereafter. </w:t>
      </w:r>
    </w:p>
    <w:p w:rsidR="00C8760A" w:rsidRDefault="00C8760A" w:rsidP="00C8760A">
      <w:pPr>
        <w:pStyle w:val="bodybld"/>
        <w:rPr>
          <w:rFonts w:ascii="Futura Hv BT" w:hAnsi="Futura Hv BT" w:cs="Futura Hv BT"/>
          <w:b w:val="0"/>
          <w:bCs w:val="0"/>
          <w:color w:val="7A9B49"/>
          <w:sz w:val="22"/>
          <w:szCs w:val="22"/>
        </w:rPr>
      </w:pPr>
    </w:p>
    <w:p w:rsidR="00C8760A" w:rsidRDefault="00C8760A" w:rsidP="00C8760A">
      <w:pPr>
        <w:pStyle w:val="bodybld"/>
        <w:rPr>
          <w:rFonts w:ascii="Futura Md BT" w:hAnsi="Futura Md BT" w:cs="Futura Md BT"/>
          <w:sz w:val="26"/>
          <w:szCs w:val="26"/>
        </w:rPr>
      </w:pPr>
      <w:r>
        <w:rPr>
          <w:rFonts w:ascii="Futura Md BT" w:hAnsi="Futura Md BT" w:cs="Futura Md BT"/>
          <w:sz w:val="26"/>
          <w:szCs w:val="26"/>
        </w:rPr>
        <w:t>Correctional Fund</w:t>
      </w:r>
    </w:p>
    <w:p w:rsidR="00A57F01" w:rsidRPr="00A57F01" w:rsidRDefault="00A57F01" w:rsidP="00A57F01">
      <w:pPr>
        <w:pStyle w:val="bodybld"/>
        <w:rPr>
          <w:rFonts w:ascii="Futura Hv BT" w:hAnsi="Futura Hv BT" w:cs="Futura Hv BT"/>
          <w:b w:val="0"/>
          <w:bCs w:val="0"/>
          <w:i/>
          <w:iCs/>
          <w:color w:val="7A9B49"/>
          <w:sz w:val="22"/>
          <w:szCs w:val="22"/>
        </w:rPr>
      </w:pPr>
      <w:r w:rsidRPr="00A57F01">
        <w:rPr>
          <w:rFonts w:ascii="Futura Hv BT" w:hAnsi="Futura Hv BT" w:cs="Futura Hv BT"/>
          <w:b w:val="0"/>
          <w:bCs w:val="0"/>
          <w:i/>
          <w:iCs/>
          <w:color w:val="7A9B49"/>
          <w:sz w:val="22"/>
          <w:szCs w:val="22"/>
        </w:rPr>
        <w:t>2017 Changes</w:t>
      </w:r>
    </w:p>
    <w:p w:rsidR="00A57F01" w:rsidRPr="00A57F01" w:rsidRDefault="00A57F01" w:rsidP="00A57F01">
      <w:pPr>
        <w:pStyle w:val="bodybld"/>
        <w:rPr>
          <w:rFonts w:ascii="Futura Hv BT" w:hAnsi="Futura Hv BT" w:cs="Futura Hv BT"/>
          <w:b w:val="0"/>
          <w:bCs w:val="0"/>
          <w:sz w:val="22"/>
          <w:szCs w:val="22"/>
        </w:rPr>
      </w:pPr>
      <w:r w:rsidRPr="00A57F01">
        <w:rPr>
          <w:rFonts w:ascii="Futura Hv BT" w:hAnsi="Futura Hv BT" w:cs="Futura Hv BT"/>
          <w:b w:val="0"/>
          <w:bCs w:val="0"/>
          <w:sz w:val="22"/>
          <w:szCs w:val="22"/>
        </w:rPr>
        <w:t>Changes in Actuarial Assumptions:</w:t>
      </w:r>
    </w:p>
    <w:p w:rsidR="00A57F01" w:rsidRPr="00A57F01" w:rsidRDefault="00A57F01" w:rsidP="00A57F01">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847931">
        <w:rPr>
          <w:rFonts w:ascii="Futura Bk BT" w:hAnsi="Futura Bk BT" w:cs="Futura Bk BT"/>
          <w:b w:val="0"/>
          <w:bCs w:val="0"/>
          <w:sz w:val="22"/>
          <w:szCs w:val="22"/>
        </w:rPr>
        <w:t>AA</w:t>
      </w:r>
      <w:bookmarkStart w:id="0" w:name="_GoBack"/>
      <w:bookmarkEnd w:id="0"/>
      <w:r w:rsidRPr="00A57F01">
        <w:rPr>
          <w:rFonts w:ascii="Futura Bk BT" w:hAnsi="Futura Bk BT" w:cs="Futura Bk BT"/>
          <w:b w:val="0"/>
          <w:bCs w:val="0"/>
          <w:sz w:val="22"/>
          <w:szCs w:val="22"/>
        </w:rPr>
        <w:t xml:space="preserve"> to Scale MP-2016</w:t>
      </w: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 xml:space="preserve">and is applied to </w:t>
      </w:r>
      <w:r>
        <w:rPr>
          <w:rFonts w:ascii="Futura Bk BT" w:hAnsi="Futura Bk BT" w:cs="Futura Bk BT"/>
          <w:b w:val="0"/>
          <w:bCs w:val="0"/>
          <w:sz w:val="22"/>
          <w:szCs w:val="22"/>
        </w:rPr>
        <w:t>healthy</w:t>
      </w:r>
      <w:r w:rsidRPr="00A57F01">
        <w:rPr>
          <w:rFonts w:ascii="Futura Bk BT" w:hAnsi="Futura Bk BT" w:cs="Futura Bk BT"/>
          <w:b w:val="0"/>
          <w:bCs w:val="0"/>
          <w:sz w:val="22"/>
          <w:szCs w:val="22"/>
        </w:rPr>
        <w:t xml:space="preserve"> and disabled members. The base mortality table for disabled annuitants was changed from the RP-2000 disabled</w:t>
      </w: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mortality table to the RP-2014 disabled annuitant mortality table (with future mortality improvement according to MP-2016).</w:t>
      </w:r>
    </w:p>
    <w:p w:rsidR="00A57F01" w:rsidRPr="00A57F01" w:rsidRDefault="00A57F01" w:rsidP="00A57F01">
      <w:pPr>
        <w:pStyle w:val="bodybld"/>
        <w:rPr>
          <w:rFonts w:ascii="Futura Bk BT" w:hAnsi="Futura Bk BT" w:cs="Futura Bk BT"/>
          <w:b w:val="0"/>
          <w:bCs w:val="0"/>
          <w:sz w:val="22"/>
          <w:szCs w:val="22"/>
        </w:rPr>
      </w:pPr>
    </w:p>
    <w:p w:rsidR="00A57F01" w:rsidRDefault="00A57F01" w:rsidP="00A57F01">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 xml:space="preserve">The Combined Service </w:t>
      </w:r>
      <w:r>
        <w:rPr>
          <w:rFonts w:ascii="Futura Bk BT" w:hAnsi="Futura Bk BT" w:cs="Futura Bk BT"/>
          <w:b w:val="0"/>
          <w:bCs w:val="0"/>
          <w:sz w:val="22"/>
          <w:szCs w:val="22"/>
        </w:rPr>
        <w:t>Annuity</w:t>
      </w:r>
      <w:r w:rsidRPr="00A57F01">
        <w:rPr>
          <w:rFonts w:ascii="Futura Bk BT" w:hAnsi="Futura Bk BT" w:cs="Futura Bk BT"/>
          <w:b w:val="0"/>
          <w:bCs w:val="0"/>
          <w:sz w:val="22"/>
          <w:szCs w:val="22"/>
        </w:rPr>
        <w:t xml:space="preserve"> (CSA) load was 30 percent for vested and non-vested</w:t>
      </w: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deferred members. The</w:t>
      </w: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 xml:space="preserve">CSA has been changed to 35 percent for vested members and 1 percent for non-vested members. </w:t>
      </w:r>
    </w:p>
    <w:p w:rsidR="00A57F01" w:rsidRDefault="00A57F01" w:rsidP="00A57F01">
      <w:pPr>
        <w:pStyle w:val="bodybld"/>
        <w:rPr>
          <w:rFonts w:ascii="Futura Bk BT" w:hAnsi="Futura Bk BT" w:cs="Futura Bk BT"/>
          <w:b w:val="0"/>
          <w:bCs w:val="0"/>
          <w:sz w:val="22"/>
          <w:szCs w:val="22"/>
        </w:rPr>
      </w:pPr>
    </w:p>
    <w:p w:rsidR="00A57F01" w:rsidRDefault="00A57F01" w:rsidP="00A57F01">
      <w:pPr>
        <w:pStyle w:val="bodybld"/>
        <w:rPr>
          <w:rFonts w:ascii="Futura Bk BT" w:hAnsi="Futura Bk BT" w:cs="Futura Bk BT"/>
          <w:b w:val="0"/>
          <w:bCs w:val="0"/>
          <w:sz w:val="22"/>
          <w:szCs w:val="22"/>
        </w:rPr>
      </w:pPr>
      <w:r>
        <w:rPr>
          <w:rFonts w:ascii="Futura Bk BT" w:hAnsi="Futura Bk BT" w:cs="Futura Bk BT"/>
          <w:b w:val="0"/>
          <w:bCs w:val="0"/>
          <w:sz w:val="22"/>
          <w:szCs w:val="22"/>
        </w:rPr>
        <w:t xml:space="preserve">- </w:t>
      </w:r>
      <w:r w:rsidRPr="00A57F01">
        <w:rPr>
          <w:rFonts w:ascii="Futura Bk BT" w:hAnsi="Futura Bk BT" w:cs="Futura Bk BT"/>
          <w:b w:val="0"/>
          <w:bCs w:val="0"/>
          <w:sz w:val="22"/>
          <w:szCs w:val="22"/>
        </w:rPr>
        <w:t>The Single Discount Rate was changed from 5.31 percent per annum to 5.96 percent per annum.</w:t>
      </w:r>
    </w:p>
    <w:p w:rsidR="00A57F01" w:rsidRPr="00A57F01" w:rsidRDefault="00A57F01" w:rsidP="00A57F01">
      <w:pPr>
        <w:pStyle w:val="bodybld"/>
        <w:rPr>
          <w:rFonts w:ascii="Futura Bk BT" w:hAnsi="Futura Bk BT" w:cs="Futura Bk BT"/>
          <w:b w:val="0"/>
          <w:bCs w:val="0"/>
          <w:sz w:val="22"/>
          <w:szCs w:val="22"/>
        </w:rPr>
      </w:pPr>
    </w:p>
    <w:p w:rsidR="00C8760A" w:rsidRDefault="00C8760A" w:rsidP="00C8760A">
      <w:pPr>
        <w:pStyle w:val="bodybld"/>
        <w:rPr>
          <w:rFonts w:ascii="Futura Hv BT" w:hAnsi="Futura Hv BT" w:cs="Futura Hv BT"/>
          <w:b w:val="0"/>
          <w:bCs w:val="0"/>
          <w:i/>
          <w:iCs/>
          <w:color w:val="7A9B49"/>
          <w:sz w:val="22"/>
          <w:szCs w:val="22"/>
        </w:rPr>
      </w:pPr>
      <w:r>
        <w:rPr>
          <w:rFonts w:ascii="Futura Hv BT" w:hAnsi="Futura Hv BT" w:cs="Futura Hv BT"/>
          <w:b w:val="0"/>
          <w:bCs w:val="0"/>
          <w:i/>
          <w:iCs/>
          <w:color w:val="7A9B49"/>
          <w:sz w:val="22"/>
          <w:szCs w:val="22"/>
        </w:rPr>
        <w:t>2016 Changes</w:t>
      </w:r>
    </w:p>
    <w:p w:rsidR="00C8760A" w:rsidRDefault="00C8760A" w:rsidP="00C8760A">
      <w:pPr>
        <w:pStyle w:val="bodybld"/>
        <w:rPr>
          <w:rFonts w:ascii="Futura Bk BT" w:hAnsi="Futura Bk BT" w:cs="Futura Bk BT"/>
          <w:b w:val="0"/>
          <w:bCs w:val="0"/>
          <w:sz w:val="22"/>
          <w:szCs w:val="22"/>
        </w:rPr>
      </w:pPr>
      <w:r>
        <w:rPr>
          <w:rFonts w:ascii="Futura Hv BT" w:hAnsi="Futura Hv BT" w:cs="Futura Hv BT"/>
          <w:b w:val="0"/>
          <w:bCs w:val="0"/>
          <w:sz w:val="22"/>
          <w:szCs w:val="22"/>
        </w:rPr>
        <w:t>Changes in Actuarial Assumptions</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r>
        <w:rPr>
          <w:rFonts w:ascii="Futura Bk BT" w:hAnsi="Futura Bk BT" w:cs="Futura Bk BT"/>
          <w:b w:val="0"/>
          <w:bCs w:val="0"/>
          <w:sz w:val="22"/>
          <w:szCs w:val="22"/>
        </w:rPr>
        <w:t>- The assumed investment return was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7.5</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The single discount rate changed from 7.9</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 xml:space="preserve"> to 5.31</w:t>
      </w:r>
      <w:r w:rsidR="00FD2FEB">
        <w:rPr>
          <w:rFonts w:ascii="Futura Bk BT" w:hAnsi="Futura Bk BT" w:cs="Futura Bk BT"/>
          <w:b w:val="0"/>
          <w:bCs w:val="0"/>
          <w:sz w:val="22"/>
          <w:szCs w:val="22"/>
        </w:rPr>
        <w:t xml:space="preserve"> percent</w:t>
      </w:r>
      <w:r>
        <w:rPr>
          <w:rFonts w:ascii="Futura Bk BT" w:hAnsi="Futura Bk BT" w:cs="Futura Bk BT"/>
          <w:b w:val="0"/>
          <w:bCs w:val="0"/>
          <w:sz w:val="22"/>
          <w:szCs w:val="22"/>
        </w:rPr>
        <w:t>.</w:t>
      </w:r>
    </w:p>
    <w:p w:rsidR="00C8760A" w:rsidRDefault="00C8760A" w:rsidP="00C8760A">
      <w:pPr>
        <w:pStyle w:val="bodybld"/>
        <w:rPr>
          <w:rFonts w:ascii="Futura Bk BT" w:hAnsi="Futura Bk BT" w:cs="Futura Bk BT"/>
          <w:b w:val="0"/>
          <w:bCs w:val="0"/>
          <w:sz w:val="22"/>
          <w:szCs w:val="22"/>
        </w:rPr>
      </w:pPr>
    </w:p>
    <w:p w:rsidR="00415CDF" w:rsidRPr="00996A9C" w:rsidRDefault="00C8760A" w:rsidP="00C8760A">
      <w:r w:rsidRPr="00996A9C">
        <w:rPr>
          <w:rFonts w:ascii="Futura Bk BT" w:hAnsi="Futura Bk BT" w:cs="Futura Bk BT"/>
          <w:bCs/>
        </w:rPr>
        <w:t>- The assumed future salary increases, payroll growth, and inflation were decreased by 0.25</w:t>
      </w:r>
      <w:r w:rsidR="00FD2FEB">
        <w:rPr>
          <w:rFonts w:ascii="Futura Bk BT" w:hAnsi="Futura Bk BT" w:cs="Futura Bk BT"/>
          <w:bCs/>
        </w:rPr>
        <w:t xml:space="preserve"> percent</w:t>
      </w:r>
      <w:r w:rsidRPr="00996A9C">
        <w:rPr>
          <w:rFonts w:ascii="Futura Bk BT" w:hAnsi="Futura Bk BT" w:cs="Futura Bk BT"/>
          <w:bCs/>
        </w:rPr>
        <w:t xml:space="preserve"> to 3.25</w:t>
      </w:r>
      <w:r w:rsidR="00FD2FEB">
        <w:rPr>
          <w:rFonts w:ascii="Futura Bk BT" w:hAnsi="Futura Bk BT" w:cs="Futura Bk BT"/>
          <w:bCs/>
        </w:rPr>
        <w:t xml:space="preserve"> percent</w:t>
      </w:r>
      <w:r w:rsidRPr="00996A9C">
        <w:rPr>
          <w:rFonts w:ascii="Futura Bk BT" w:hAnsi="Futura Bk BT" w:cs="Futura Bk BT"/>
          <w:bCs/>
        </w:rPr>
        <w:t xml:space="preserve"> for payroll growth and 2.50</w:t>
      </w:r>
      <w:r w:rsidR="00FD2FEB">
        <w:rPr>
          <w:rFonts w:ascii="Futura Bk BT" w:hAnsi="Futura Bk BT" w:cs="Futura Bk BT"/>
          <w:bCs/>
        </w:rPr>
        <w:t xml:space="preserve"> percent</w:t>
      </w:r>
      <w:r w:rsidRPr="00996A9C">
        <w:rPr>
          <w:rFonts w:ascii="Futura Bk BT" w:hAnsi="Futura Bk BT" w:cs="Futura Bk BT"/>
          <w:bCs/>
        </w:rPr>
        <w:t xml:space="preserve"> for inflation.  </w:t>
      </w:r>
    </w:p>
    <w:sectPr w:rsidR="00415CDF" w:rsidRPr="0099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mdITC Bk BT">
    <w:panose1 w:val="00000000000000000000"/>
    <w:charset w:val="00"/>
    <w:family w:val="roman"/>
    <w:notTrueType/>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0A"/>
    <w:rsid w:val="0007302B"/>
    <w:rsid w:val="002668DB"/>
    <w:rsid w:val="00415CDF"/>
    <w:rsid w:val="004F3244"/>
    <w:rsid w:val="005C6748"/>
    <w:rsid w:val="00626543"/>
    <w:rsid w:val="006D17DB"/>
    <w:rsid w:val="00770FB4"/>
    <w:rsid w:val="00847931"/>
    <w:rsid w:val="00996A9C"/>
    <w:rsid w:val="009E4F39"/>
    <w:rsid w:val="00A57F01"/>
    <w:rsid w:val="00BD07C5"/>
    <w:rsid w:val="00C8760A"/>
    <w:rsid w:val="00DB2680"/>
    <w:rsid w:val="00F73727"/>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Jim Riebe</cp:lastModifiedBy>
  <cp:revision>10</cp:revision>
  <dcterms:created xsi:type="dcterms:W3CDTF">2018-01-09T18:18:00Z</dcterms:created>
  <dcterms:modified xsi:type="dcterms:W3CDTF">2018-01-12T15:10:00Z</dcterms:modified>
</cp:coreProperties>
</file>